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E0" w:rsidRDefault="00EA59E0" w:rsidP="00EA59E0">
      <w:pPr>
        <w:pStyle w:val="a4"/>
        <w:rPr>
          <w:b w:val="0"/>
          <w:bCs w:val="0"/>
          <w:color w:val="auto"/>
          <w:sz w:val="28"/>
          <w:szCs w:val="28"/>
          <w:lang w:eastAsia="ru-RU"/>
        </w:rPr>
      </w:pPr>
      <w:r>
        <w:t>Паспорт Программы развития</w:t>
      </w:r>
    </w:p>
    <w:p w:rsidR="00EA59E0" w:rsidRDefault="00EA59E0" w:rsidP="00EA59E0">
      <w:pPr>
        <w:suppressAutoHyphens/>
        <w:spacing w:after="0" w:line="240" w:lineRule="auto"/>
        <w:ind w:firstLine="660"/>
        <w:jc w:val="center"/>
        <w:rPr>
          <w:b/>
          <w:bCs/>
          <w:color w:val="auto"/>
          <w:sz w:val="24"/>
          <w:szCs w:val="24"/>
          <w:lang w:eastAsia="ar-SA"/>
        </w:rPr>
      </w:pPr>
      <w:r>
        <w:rPr>
          <w:b/>
          <w:bCs/>
          <w:color w:val="auto"/>
          <w:sz w:val="24"/>
          <w:szCs w:val="24"/>
          <w:lang w:eastAsia="ar-SA"/>
        </w:rPr>
        <w:t>Бюджетного образовательного учреждения дополнительного образования детей города Омска «Городской Дворец детского (юношеского) творчества»</w:t>
      </w:r>
    </w:p>
    <w:p w:rsidR="00EA59E0" w:rsidRDefault="00EA59E0" w:rsidP="00EA59E0">
      <w:pPr>
        <w:suppressAutoHyphens/>
        <w:spacing w:after="0" w:line="240" w:lineRule="auto"/>
        <w:ind w:firstLine="660"/>
        <w:jc w:val="center"/>
        <w:rPr>
          <w:b/>
          <w:bCs/>
          <w:color w:val="auto"/>
          <w:sz w:val="24"/>
          <w:szCs w:val="24"/>
          <w:lang w:eastAsia="ar-SA"/>
        </w:rPr>
      </w:pPr>
      <w:r>
        <w:rPr>
          <w:b/>
          <w:bCs/>
          <w:color w:val="auto"/>
          <w:sz w:val="24"/>
          <w:szCs w:val="24"/>
          <w:lang w:eastAsia="ar-SA"/>
        </w:rPr>
        <w:t xml:space="preserve"> на 2013-2017 годы</w:t>
      </w:r>
    </w:p>
    <w:p w:rsidR="00EA59E0" w:rsidRDefault="00EA59E0" w:rsidP="00EA59E0">
      <w:pPr>
        <w:suppressAutoHyphens/>
        <w:spacing w:after="0" w:line="240" w:lineRule="auto"/>
        <w:ind w:firstLine="660"/>
        <w:jc w:val="center"/>
        <w:rPr>
          <w:b/>
          <w:bCs/>
          <w:color w:val="auto"/>
          <w:sz w:val="24"/>
          <w:szCs w:val="24"/>
          <w:lang w:eastAsia="ar-SA"/>
        </w:rPr>
      </w:pPr>
    </w:p>
    <w:tbl>
      <w:tblPr>
        <w:tblW w:w="94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3528"/>
        <w:gridCol w:w="5937"/>
      </w:tblGrid>
      <w:tr w:rsidR="00EA59E0" w:rsidTr="00EA59E0">
        <w:tc>
          <w:tcPr>
            <w:tcW w:w="3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59E0" w:rsidRDefault="00EA59E0">
            <w:pPr>
              <w:suppressAutoHyphens/>
              <w:snapToGrid w:val="0"/>
              <w:spacing w:before="60" w:after="60" w:line="240" w:lineRule="auto"/>
              <w:jc w:val="center"/>
              <w:rPr>
                <w:b/>
                <w:color w:val="auto"/>
                <w:sz w:val="24"/>
                <w:szCs w:val="24"/>
                <w:lang w:eastAsia="ar-SA"/>
              </w:rPr>
            </w:pPr>
            <w:r>
              <w:rPr>
                <w:b/>
                <w:color w:val="auto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5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59E0" w:rsidRDefault="00EA59E0">
            <w:pPr>
              <w:suppressAutoHyphens/>
              <w:spacing w:before="60" w:after="60" w:line="240" w:lineRule="auto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 xml:space="preserve">Программа </w:t>
            </w:r>
            <w:r>
              <w:rPr>
                <w:bCs/>
                <w:color w:val="auto"/>
                <w:sz w:val="24"/>
                <w:szCs w:val="24"/>
                <w:lang w:eastAsia="ar-SA"/>
              </w:rPr>
              <w:t>развития бюджетного образовательного учреждения дополнительного образования детей города Омска «Городской Дворец детского (юношеского) творчества» на 2013-2017 годы</w:t>
            </w:r>
          </w:p>
        </w:tc>
      </w:tr>
      <w:tr w:rsidR="00EA59E0" w:rsidTr="00EA59E0">
        <w:tc>
          <w:tcPr>
            <w:tcW w:w="3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59E0" w:rsidRDefault="00EA59E0">
            <w:pPr>
              <w:suppressAutoHyphens/>
              <w:snapToGrid w:val="0"/>
              <w:spacing w:before="60" w:after="60" w:line="240" w:lineRule="auto"/>
              <w:jc w:val="center"/>
              <w:rPr>
                <w:b/>
                <w:color w:val="auto"/>
                <w:sz w:val="24"/>
                <w:szCs w:val="24"/>
                <w:lang w:eastAsia="ar-SA"/>
              </w:rPr>
            </w:pPr>
            <w:r>
              <w:rPr>
                <w:b/>
                <w:color w:val="auto"/>
                <w:sz w:val="24"/>
                <w:szCs w:val="24"/>
                <w:lang w:eastAsia="ar-SA"/>
              </w:rPr>
              <w:t>Государственный заказчик Программы</w:t>
            </w:r>
          </w:p>
        </w:tc>
        <w:tc>
          <w:tcPr>
            <w:tcW w:w="5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59E0" w:rsidRDefault="00EA59E0">
            <w:pPr>
              <w:suppressAutoHyphens/>
              <w:snapToGrid w:val="0"/>
              <w:spacing w:before="60" w:after="60" w:line="240" w:lineRule="auto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rStyle w:val="highlight"/>
                <w:sz w:val="24"/>
                <w:szCs w:val="24"/>
              </w:rPr>
              <w:t>Департамент </w:t>
            </w:r>
            <w:r>
              <w:rPr>
                <w:sz w:val="24"/>
                <w:szCs w:val="24"/>
              </w:rPr>
              <w:t xml:space="preserve"> образования Администрации г. Омска</w:t>
            </w:r>
          </w:p>
        </w:tc>
      </w:tr>
      <w:tr w:rsidR="00EA59E0" w:rsidTr="00EA59E0">
        <w:tc>
          <w:tcPr>
            <w:tcW w:w="3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59E0" w:rsidRDefault="00EA59E0">
            <w:pPr>
              <w:suppressAutoHyphens/>
              <w:snapToGrid w:val="0"/>
              <w:spacing w:before="60" w:after="60" w:line="240" w:lineRule="auto"/>
              <w:jc w:val="center"/>
              <w:rPr>
                <w:b/>
                <w:color w:val="auto"/>
                <w:sz w:val="24"/>
                <w:szCs w:val="24"/>
                <w:lang w:eastAsia="ar-SA"/>
              </w:rPr>
            </w:pPr>
            <w:r>
              <w:rPr>
                <w:b/>
                <w:color w:val="auto"/>
                <w:sz w:val="24"/>
                <w:szCs w:val="24"/>
                <w:lang w:eastAsia="ar-SA"/>
              </w:rPr>
              <w:t>Разработчики Программы</w:t>
            </w:r>
          </w:p>
        </w:tc>
        <w:tc>
          <w:tcPr>
            <w:tcW w:w="5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9E0" w:rsidRDefault="00EA59E0">
            <w:pPr>
              <w:tabs>
                <w:tab w:val="left" w:pos="332"/>
              </w:tabs>
              <w:spacing w:after="0" w:line="240" w:lineRule="auto"/>
              <w:rPr>
                <w:color w:val="auto"/>
                <w:sz w:val="6"/>
                <w:szCs w:val="6"/>
              </w:rPr>
            </w:pPr>
          </w:p>
          <w:p w:rsidR="00EA59E0" w:rsidRDefault="00EA59E0">
            <w:pPr>
              <w:tabs>
                <w:tab w:val="left" w:pos="332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Директор –  Разумова Н.П. </w:t>
            </w:r>
          </w:p>
          <w:p w:rsidR="00EA59E0" w:rsidRDefault="00EA59E0">
            <w:pPr>
              <w:tabs>
                <w:tab w:val="left" w:pos="332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Зам. директора по УР – Кузина Н.Н. </w:t>
            </w:r>
          </w:p>
          <w:p w:rsidR="00EA59E0" w:rsidRDefault="00EA59E0">
            <w:pPr>
              <w:tabs>
                <w:tab w:val="left" w:pos="332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Зам. директора по  ВР – Бирич В.П. </w:t>
            </w:r>
          </w:p>
          <w:p w:rsidR="00EA59E0" w:rsidRDefault="00EA59E0">
            <w:pPr>
              <w:tabs>
                <w:tab w:val="left" w:pos="332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Руководители  структурных  подразделений Дворца </w:t>
            </w:r>
          </w:p>
          <w:p w:rsidR="00EA59E0" w:rsidRDefault="00EA59E0">
            <w:pPr>
              <w:tabs>
                <w:tab w:val="left" w:pos="332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Зав. методической службой – Цыро И.И.  </w:t>
            </w:r>
          </w:p>
          <w:p w:rsidR="00EA59E0" w:rsidRDefault="00EA59E0">
            <w:pPr>
              <w:tabs>
                <w:tab w:val="left" w:pos="332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Методист – Романова О.Н.</w:t>
            </w:r>
          </w:p>
          <w:p w:rsidR="00EA59E0" w:rsidRDefault="00EA59E0">
            <w:pPr>
              <w:tabs>
                <w:tab w:val="left" w:pos="332"/>
              </w:tabs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Научный руководитель</w:t>
            </w:r>
            <w:r>
              <w:rPr>
                <w:sz w:val="24"/>
                <w:szCs w:val="24"/>
              </w:rPr>
              <w:t xml:space="preserve"> – Синицына Г.П., к.п.н., доцент  кафедры педагогики ОмГПУ</w:t>
            </w:r>
          </w:p>
          <w:p w:rsidR="00EA59E0" w:rsidRDefault="00EA59E0">
            <w:pPr>
              <w:tabs>
                <w:tab w:val="left" w:pos="332"/>
              </w:tabs>
              <w:suppressAutoHyphens/>
              <w:snapToGrid w:val="0"/>
              <w:spacing w:after="0" w:line="240" w:lineRule="auto"/>
              <w:rPr>
                <w:color w:val="auto"/>
                <w:sz w:val="6"/>
                <w:szCs w:val="6"/>
                <w:lang w:eastAsia="ar-SA"/>
              </w:rPr>
            </w:pPr>
          </w:p>
        </w:tc>
      </w:tr>
      <w:tr w:rsidR="00EA59E0" w:rsidTr="00EA59E0">
        <w:tc>
          <w:tcPr>
            <w:tcW w:w="3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59E0" w:rsidRDefault="00EA59E0">
            <w:pPr>
              <w:tabs>
                <w:tab w:val="left" w:pos="440"/>
                <w:tab w:val="left" w:pos="770"/>
              </w:tabs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5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59E0" w:rsidRDefault="00EA59E0">
            <w:pPr>
              <w:pStyle w:val="1"/>
              <w:spacing w:before="60" w:after="60"/>
              <w:jc w:val="both"/>
              <w:rPr>
                <w:rFonts w:ascii="Times New Roman" w:hAnsi="Times New Roman"/>
                <w:bCs/>
                <w:color w:val="auto"/>
                <w:spacing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auto"/>
                <w:spacing w:val="0"/>
                <w:sz w:val="24"/>
                <w:szCs w:val="24"/>
                <w:lang w:val="ru-RU" w:eastAsia="en-US"/>
              </w:rPr>
              <w:t>Административно-управленческий аппарат,   структурные подразделения Дворца творчества, временные рабочие группы, в состав которых входят педагоги и сотрудники Дворца творчества,  родители, общественных организаций  Омского региона.</w:t>
            </w:r>
          </w:p>
        </w:tc>
      </w:tr>
      <w:tr w:rsidR="00EA59E0" w:rsidTr="00EA59E0">
        <w:tc>
          <w:tcPr>
            <w:tcW w:w="3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59E0" w:rsidRDefault="00EA59E0">
            <w:pPr>
              <w:tabs>
                <w:tab w:val="left" w:pos="440"/>
                <w:tab w:val="left" w:pos="77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Нормативно-правовое обоснование Программы</w:t>
            </w:r>
          </w:p>
        </w:tc>
        <w:tc>
          <w:tcPr>
            <w:tcW w:w="5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59E0" w:rsidRDefault="00EA59E0">
            <w:pPr>
              <w:spacing w:before="60" w:after="6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Федеральная целевая программа развития образования на 2011-2015 годы, Стратегия развития науки и инноваций в Российской Федерации  на период до 2015 года, Национальная доктрина образования в Российской Федерации, Федеральный закон от 08.05.2010 года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 Типовое положение об образовательном учреждении дополнительного образования детей </w:t>
            </w:r>
            <w:r>
              <w:t>Приказ Минобрнауки России от 26 июня 2012 г. N 504</w:t>
            </w:r>
            <w:r>
              <w:rPr>
                <w:color w:val="auto"/>
                <w:sz w:val="24"/>
                <w:szCs w:val="24"/>
              </w:rPr>
              <w:t xml:space="preserve">,  Устав  учреждения. </w:t>
            </w:r>
          </w:p>
        </w:tc>
      </w:tr>
      <w:tr w:rsidR="00EA59E0" w:rsidTr="00EA59E0">
        <w:tc>
          <w:tcPr>
            <w:tcW w:w="3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59E0" w:rsidRDefault="00EA59E0">
            <w:pPr>
              <w:suppressAutoHyphens/>
              <w:snapToGrid w:val="0"/>
              <w:spacing w:before="60" w:after="60" w:line="240" w:lineRule="auto"/>
              <w:jc w:val="center"/>
              <w:rPr>
                <w:b/>
                <w:color w:val="auto"/>
                <w:sz w:val="24"/>
                <w:szCs w:val="24"/>
                <w:lang w:eastAsia="ar-SA"/>
              </w:rPr>
            </w:pPr>
            <w:r>
              <w:rPr>
                <w:b/>
                <w:color w:val="auto"/>
                <w:sz w:val="24"/>
                <w:szCs w:val="24"/>
                <w:lang w:eastAsia="ar-SA"/>
              </w:rPr>
              <w:t>Цель Программы</w:t>
            </w:r>
          </w:p>
        </w:tc>
        <w:tc>
          <w:tcPr>
            <w:tcW w:w="5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59E0" w:rsidRDefault="00EA59E0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Разработка и апробация механизма перехода Дворца в режим устойчивого системного развития, повышения качества дополнительного  образования детей  на основе целенаправленного обновления содержания образования, технологий  образовательной, социально-значимой проектной</w:t>
            </w:r>
            <w:r>
              <w:rPr>
                <w:color w:val="auto"/>
                <w:sz w:val="24"/>
                <w:szCs w:val="24"/>
                <w:lang w:eastAsia="ar-SA"/>
              </w:rPr>
              <w:tab/>
              <w:t xml:space="preserve">  и досуговой деятельности, формирования детско-взрослых общностей с социализирующими функциями</w:t>
            </w:r>
          </w:p>
        </w:tc>
      </w:tr>
      <w:tr w:rsidR="00EA59E0" w:rsidTr="00EA59E0">
        <w:tc>
          <w:tcPr>
            <w:tcW w:w="3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59E0" w:rsidRDefault="00EA59E0">
            <w:pPr>
              <w:suppressAutoHyphens/>
              <w:snapToGrid w:val="0"/>
              <w:spacing w:before="60" w:after="60" w:line="240" w:lineRule="auto"/>
              <w:jc w:val="center"/>
              <w:rPr>
                <w:b/>
                <w:color w:val="auto"/>
                <w:sz w:val="24"/>
                <w:szCs w:val="24"/>
                <w:lang w:eastAsia="ar-SA"/>
              </w:rPr>
            </w:pPr>
            <w:r>
              <w:rPr>
                <w:b/>
                <w:color w:val="auto"/>
                <w:sz w:val="24"/>
                <w:szCs w:val="24"/>
                <w:lang w:eastAsia="ar-SA"/>
              </w:rPr>
              <w:t>Задачи Программы</w:t>
            </w:r>
          </w:p>
        </w:tc>
        <w:tc>
          <w:tcPr>
            <w:tcW w:w="5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59E0" w:rsidRDefault="00EA59E0" w:rsidP="0003265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300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0" w:firstLine="289"/>
              <w:jc w:val="both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 xml:space="preserve">повышение социального статуса Дворца, его представленности в образовательном пространстве                  </w:t>
            </w:r>
            <w:r>
              <w:rPr>
                <w:color w:val="auto"/>
                <w:sz w:val="24"/>
                <w:szCs w:val="24"/>
                <w:lang w:eastAsia="ar-SA"/>
              </w:rPr>
              <w:lastRenderedPageBreak/>
              <w:t>г. Омска и Омского  региона;</w:t>
            </w:r>
          </w:p>
          <w:p w:rsidR="00EA59E0" w:rsidRDefault="00EA59E0" w:rsidP="00032654">
            <w:pPr>
              <w:numPr>
                <w:ilvl w:val="0"/>
                <w:numId w:val="1"/>
              </w:numPr>
              <w:tabs>
                <w:tab w:val="num" w:pos="300"/>
              </w:tabs>
              <w:suppressAutoHyphens/>
              <w:spacing w:before="60" w:after="60" w:line="240" w:lineRule="auto"/>
              <w:ind w:left="0" w:firstLine="289"/>
              <w:jc w:val="both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eastAsia="ar-SA"/>
              </w:rPr>
              <w:t xml:space="preserve">расширение сферы образовательных услуг Дворца </w:t>
            </w:r>
            <w:r>
              <w:rPr>
                <w:color w:val="auto"/>
                <w:sz w:val="24"/>
                <w:szCs w:val="24"/>
                <w:lang w:eastAsia="ar-SA"/>
              </w:rPr>
              <w:t>в соответствии с запросами детей и родителей;</w:t>
            </w:r>
          </w:p>
          <w:p w:rsidR="00EA59E0" w:rsidRDefault="00EA59E0" w:rsidP="0003265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300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0" w:firstLine="289"/>
              <w:jc w:val="both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обеспечение доступности и возможностей получения обучающимися всех категорий дополнительных образовательных услуг высокого качества;</w:t>
            </w:r>
          </w:p>
          <w:p w:rsidR="00EA59E0" w:rsidRDefault="00EA59E0" w:rsidP="0003265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300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0" w:firstLine="289"/>
              <w:jc w:val="both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совершенствование программного– методического содержания дополнительного образования детей, его форм, методов и технологий, разработка программ нового поколения, направленных на развитие образовательной  деятельности Дворца;</w:t>
            </w:r>
          </w:p>
          <w:p w:rsidR="00EA59E0" w:rsidRDefault="00EA59E0" w:rsidP="0003265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300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0" w:firstLine="289"/>
              <w:jc w:val="both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 xml:space="preserve">обеспечение межведомственного сотрудничества и социального партнерства в системе дополнительного образования детей. </w:t>
            </w:r>
          </w:p>
        </w:tc>
      </w:tr>
      <w:tr w:rsidR="00EA59E0" w:rsidTr="00EA59E0">
        <w:tc>
          <w:tcPr>
            <w:tcW w:w="3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59E0" w:rsidRDefault="00EA59E0">
            <w:pPr>
              <w:suppressAutoHyphens/>
              <w:snapToGrid w:val="0"/>
              <w:spacing w:before="60" w:after="60" w:line="240" w:lineRule="auto"/>
              <w:jc w:val="center"/>
              <w:rPr>
                <w:b/>
                <w:color w:val="auto"/>
                <w:sz w:val="24"/>
                <w:szCs w:val="24"/>
                <w:lang w:eastAsia="ar-SA"/>
              </w:rPr>
            </w:pPr>
            <w:r>
              <w:rPr>
                <w:b/>
                <w:color w:val="auto"/>
                <w:sz w:val="24"/>
                <w:szCs w:val="24"/>
                <w:lang w:eastAsia="ar-SA"/>
              </w:rPr>
              <w:lastRenderedPageBreak/>
              <w:t>Основные  результаты Программы</w:t>
            </w:r>
          </w:p>
        </w:tc>
        <w:tc>
          <w:tcPr>
            <w:tcW w:w="5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59E0" w:rsidRDefault="00EA59E0" w:rsidP="00032654">
            <w:pPr>
              <w:numPr>
                <w:ilvl w:val="1"/>
                <w:numId w:val="1"/>
              </w:numPr>
              <w:tabs>
                <w:tab w:val="num" w:pos="0"/>
              </w:tabs>
              <w:suppressAutoHyphens/>
              <w:spacing w:after="0" w:line="240" w:lineRule="auto"/>
              <w:ind w:left="0" w:firstLine="322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Количество образовательных программ, направленных на работу с  контингентом детей в возрасте 5-18 лет  возрастет на 15% от общего количества образовательных программ  ГДД(Ю)Т;</w:t>
            </w:r>
          </w:p>
          <w:p w:rsidR="00EA59E0" w:rsidRDefault="00EA59E0" w:rsidP="00032654">
            <w:pPr>
              <w:numPr>
                <w:ilvl w:val="1"/>
                <w:numId w:val="1"/>
              </w:numPr>
              <w:tabs>
                <w:tab w:val="num" w:pos="0"/>
              </w:tabs>
              <w:suppressAutoHyphens/>
              <w:spacing w:after="0" w:line="240" w:lineRule="auto"/>
              <w:ind w:left="0" w:firstLine="322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количество образовательных программ ГДД(Ю)Т сфере платных образовательных услуг возрастет до 50% от общего количества образовательных программ ГДД(Ю)Т;</w:t>
            </w:r>
          </w:p>
          <w:p w:rsidR="00EA59E0" w:rsidRDefault="00EA59E0" w:rsidP="00032654">
            <w:pPr>
              <w:numPr>
                <w:ilvl w:val="1"/>
                <w:numId w:val="1"/>
              </w:numPr>
              <w:tabs>
                <w:tab w:val="num" w:pos="0"/>
              </w:tabs>
              <w:suppressAutoHyphens/>
              <w:spacing w:after="0" w:line="240" w:lineRule="auto"/>
              <w:ind w:left="0" w:firstLine="322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факты динамики  личностного роста  обучающихся и педагогов, закрепленные   в их творческих достижениях (портфолио);</w:t>
            </w:r>
          </w:p>
          <w:p w:rsidR="00EA59E0" w:rsidRDefault="00EA59E0" w:rsidP="00032654">
            <w:pPr>
              <w:numPr>
                <w:ilvl w:val="1"/>
                <w:numId w:val="1"/>
              </w:numPr>
              <w:tabs>
                <w:tab w:val="num" w:pos="0"/>
              </w:tabs>
              <w:suppressAutoHyphens/>
              <w:spacing w:after="0" w:line="240" w:lineRule="auto"/>
              <w:ind w:left="0" w:firstLine="322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система  мониторинга, фиксирующая эффективность деятельности ГДД(Ю)Т ;</w:t>
            </w:r>
          </w:p>
          <w:p w:rsidR="00EA59E0" w:rsidRDefault="00EA59E0" w:rsidP="00032654">
            <w:pPr>
              <w:numPr>
                <w:ilvl w:val="1"/>
                <w:numId w:val="1"/>
              </w:numPr>
              <w:tabs>
                <w:tab w:val="num" w:pos="0"/>
              </w:tabs>
              <w:suppressAutoHyphens/>
              <w:spacing w:after="0" w:line="240" w:lineRule="auto"/>
              <w:ind w:left="0" w:firstLine="322"/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механизмы, обеспечивающие взаимодействие с социальными партнерами: нормативная база, договорные отношения, совместные проекты;</w:t>
            </w:r>
          </w:p>
          <w:p w:rsidR="00EA59E0" w:rsidRDefault="00EA59E0" w:rsidP="00032654">
            <w:pPr>
              <w:numPr>
                <w:ilvl w:val="1"/>
                <w:numId w:val="1"/>
              </w:numPr>
              <w:tabs>
                <w:tab w:val="num" w:pos="0"/>
              </w:tabs>
              <w:suppressAutoHyphens/>
              <w:spacing w:after="0" w:line="240" w:lineRule="auto"/>
              <w:ind w:left="0" w:firstLine="322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факты   наличия  привлеченных средств грантодателей на реализацию проектов ГДД(Ю)Т (2-3 в год); </w:t>
            </w:r>
          </w:p>
          <w:p w:rsidR="00EA59E0" w:rsidRDefault="00EA59E0" w:rsidP="00032654">
            <w:pPr>
              <w:numPr>
                <w:ilvl w:val="1"/>
                <w:numId w:val="1"/>
              </w:numPr>
              <w:tabs>
                <w:tab w:val="num" w:pos="0"/>
              </w:tabs>
              <w:suppressAutoHyphens/>
              <w:spacing w:after="0" w:line="240" w:lineRule="auto"/>
              <w:ind w:left="0" w:firstLine="322"/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 xml:space="preserve">привлекательный  имидж  ГДД(Ю)Т и лидирующая позиция учреждения в системе ДОД  г. Омска; </w:t>
            </w:r>
          </w:p>
          <w:p w:rsidR="00EA59E0" w:rsidRDefault="00EA59E0" w:rsidP="00032654">
            <w:pPr>
              <w:numPr>
                <w:ilvl w:val="1"/>
                <w:numId w:val="1"/>
              </w:numPr>
              <w:tabs>
                <w:tab w:val="num" w:pos="0"/>
              </w:tabs>
              <w:suppressAutoHyphens/>
              <w:spacing w:after="0" w:line="240" w:lineRule="auto"/>
              <w:ind w:left="0" w:firstLine="322"/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 xml:space="preserve">действующая система государственно-общественного управления ГДД(Ю)Т; </w:t>
            </w:r>
          </w:p>
          <w:p w:rsidR="00EA59E0" w:rsidRDefault="00EA59E0" w:rsidP="00032654">
            <w:pPr>
              <w:numPr>
                <w:ilvl w:val="1"/>
                <w:numId w:val="1"/>
              </w:numPr>
              <w:tabs>
                <w:tab w:val="num" w:pos="0"/>
              </w:tabs>
              <w:suppressAutoHyphens/>
              <w:spacing w:after="0" w:line="240" w:lineRule="auto"/>
              <w:ind w:left="0" w:firstLine="322"/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 xml:space="preserve">факты развития материально-технической базы </w:t>
            </w:r>
            <w:r>
              <w:rPr>
                <w:rFonts w:eastAsia="Calibri"/>
                <w:color w:val="auto"/>
                <w:sz w:val="24"/>
                <w:szCs w:val="24"/>
              </w:rPr>
              <w:t>для развития программ дополнительного образования детей, учебно-м</w:t>
            </w:r>
            <w:r>
              <w:rPr>
                <w:color w:val="auto"/>
                <w:sz w:val="24"/>
                <w:szCs w:val="24"/>
                <w:lang w:eastAsia="ru-RU"/>
              </w:rPr>
              <w:t xml:space="preserve">етодического обеспечения программ ДОД до уровня современных требований; </w:t>
            </w:r>
          </w:p>
          <w:p w:rsidR="00EA59E0" w:rsidRDefault="00EA59E0" w:rsidP="00032654">
            <w:pPr>
              <w:numPr>
                <w:ilvl w:val="1"/>
                <w:numId w:val="1"/>
              </w:numPr>
              <w:tabs>
                <w:tab w:val="num" w:pos="0"/>
              </w:tabs>
              <w:suppressAutoHyphens/>
              <w:spacing w:after="0" w:line="240" w:lineRule="auto"/>
              <w:ind w:left="0" w:firstLine="322"/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 xml:space="preserve">факты качественного  изменения персонала, обусловленные эффективной реализацией программы внутрифирменного обучения и повышения квалификации, привлечением к научно-образовательной деятельности перспективной </w:t>
            </w:r>
            <w:r>
              <w:rPr>
                <w:color w:val="auto"/>
                <w:sz w:val="24"/>
                <w:szCs w:val="24"/>
                <w:lang w:eastAsia="ru-RU"/>
              </w:rPr>
              <w:lastRenderedPageBreak/>
              <w:t xml:space="preserve">молодежи; </w:t>
            </w:r>
          </w:p>
          <w:p w:rsidR="00EA59E0" w:rsidRDefault="00EA59E0" w:rsidP="00032654">
            <w:pPr>
              <w:numPr>
                <w:ilvl w:val="1"/>
                <w:numId w:val="1"/>
              </w:numPr>
              <w:tabs>
                <w:tab w:val="num" w:pos="0"/>
              </w:tabs>
              <w:suppressAutoHyphens/>
              <w:spacing w:after="0" w:line="240" w:lineRule="auto"/>
              <w:ind w:left="0" w:firstLine="322"/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 xml:space="preserve">программа информационно-технологической  поддержки направлений деятельности </w:t>
            </w:r>
            <w:r>
              <w:rPr>
                <w:rFonts w:eastAsia="Calibri"/>
                <w:color w:val="auto"/>
                <w:sz w:val="24"/>
                <w:szCs w:val="24"/>
              </w:rPr>
              <w:t>ГДД(Ю)Т</w:t>
            </w:r>
            <w:r>
              <w:rPr>
                <w:color w:val="auto"/>
                <w:sz w:val="24"/>
                <w:szCs w:val="24"/>
                <w:lang w:eastAsia="ru-RU"/>
              </w:rPr>
              <w:t>;</w:t>
            </w:r>
          </w:p>
          <w:p w:rsidR="00EA59E0" w:rsidRDefault="00EA59E0" w:rsidP="00032654">
            <w:pPr>
              <w:widowControl w:val="0"/>
              <w:numPr>
                <w:ilvl w:val="1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22"/>
              <w:jc w:val="both"/>
              <w:rPr>
                <w:rFonts w:ascii="Calibri" w:eastAsia="Calibri" w:hAnsi="Calibri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 xml:space="preserve">эффективная система управления финансово-экономической и  организационно-управленческой деятельностью </w:t>
            </w:r>
            <w:r>
              <w:rPr>
                <w:rFonts w:eastAsia="Calibri"/>
                <w:color w:val="auto"/>
                <w:sz w:val="24"/>
                <w:szCs w:val="24"/>
              </w:rPr>
              <w:t>ГДД(Ю)Т.</w:t>
            </w:r>
          </w:p>
        </w:tc>
      </w:tr>
      <w:tr w:rsidR="00EA59E0" w:rsidTr="00EA59E0">
        <w:tc>
          <w:tcPr>
            <w:tcW w:w="3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59E0" w:rsidRDefault="00EA59E0">
            <w:pPr>
              <w:suppressAutoHyphens/>
              <w:snapToGrid w:val="0"/>
              <w:spacing w:before="60" w:after="60" w:line="240" w:lineRule="auto"/>
              <w:jc w:val="center"/>
              <w:rPr>
                <w:b/>
                <w:color w:val="auto"/>
                <w:sz w:val="24"/>
                <w:szCs w:val="24"/>
                <w:lang w:eastAsia="ar-SA"/>
              </w:rPr>
            </w:pPr>
            <w:r>
              <w:rPr>
                <w:b/>
                <w:color w:val="auto"/>
                <w:sz w:val="24"/>
                <w:szCs w:val="24"/>
                <w:lang w:eastAsia="ar-SA"/>
              </w:rPr>
              <w:lastRenderedPageBreak/>
              <w:t>Сроки реализации Программы</w:t>
            </w:r>
          </w:p>
        </w:tc>
        <w:tc>
          <w:tcPr>
            <w:tcW w:w="5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59E0" w:rsidRDefault="00EA59E0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Первый этап</w:t>
            </w:r>
            <w:r>
              <w:rPr>
                <w:sz w:val="24"/>
                <w:szCs w:val="24"/>
              </w:rPr>
              <w:t xml:space="preserve"> (2013г.) – подготовительный:  анализ текущего этапа развития </w:t>
            </w:r>
            <w:r>
              <w:rPr>
                <w:rFonts w:eastAsia="Calibri"/>
                <w:color w:val="auto"/>
                <w:sz w:val="24"/>
                <w:szCs w:val="24"/>
              </w:rPr>
              <w:t>ГДД(ю)Т</w:t>
            </w:r>
            <w:r>
              <w:rPr>
                <w:sz w:val="24"/>
                <w:szCs w:val="24"/>
              </w:rPr>
              <w:t xml:space="preserve">,   подготовка нормативно-правовой базы,  разработка  подпрограмм  и проектов, структурные изменения в  деятельности </w:t>
            </w:r>
            <w:r>
              <w:rPr>
                <w:rFonts w:eastAsia="Calibri"/>
                <w:color w:val="auto"/>
                <w:sz w:val="24"/>
                <w:szCs w:val="24"/>
              </w:rPr>
              <w:t>ГДД(ю)Т</w:t>
            </w:r>
            <w:r>
              <w:rPr>
                <w:sz w:val="24"/>
                <w:szCs w:val="24"/>
              </w:rPr>
              <w:t xml:space="preserve"> в  соответствии с требованиями Федеральной целевой программы развития образования до 2015г.;</w:t>
            </w:r>
          </w:p>
          <w:p w:rsidR="00EA59E0" w:rsidRDefault="00EA59E0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Второй этап</w:t>
            </w:r>
            <w:r>
              <w:rPr>
                <w:sz w:val="24"/>
                <w:szCs w:val="24"/>
              </w:rPr>
              <w:t xml:space="preserve"> (2013-2017 гг.) – реализация  подпрограмм и проектов, полномасштабый запуск  инновационных направлений, внесение корректив.</w:t>
            </w:r>
          </w:p>
          <w:p w:rsidR="00EA59E0" w:rsidRDefault="00EA59E0">
            <w:pPr>
              <w:suppressAutoHyphens/>
              <w:spacing w:before="60" w:after="60" w:line="240" w:lineRule="auto"/>
              <w:jc w:val="both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Третий этап</w:t>
            </w:r>
            <w:r>
              <w:rPr>
                <w:sz w:val="24"/>
                <w:szCs w:val="24"/>
              </w:rPr>
              <w:t xml:space="preserve"> (2017 гг.) – обобщение результатов реализации Программы. Мониторинг качества выполнения Программы. Публикация на сайте  отчета о реализации Программы и распространение опыта для  образовательных учреждений дополнительного образования детей Омского региона. Определение дальнейших перспектив развития.</w:t>
            </w:r>
          </w:p>
        </w:tc>
      </w:tr>
      <w:tr w:rsidR="00EA59E0" w:rsidTr="00EA59E0">
        <w:tc>
          <w:tcPr>
            <w:tcW w:w="3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59E0" w:rsidRDefault="00EA59E0">
            <w:pPr>
              <w:suppressAutoHyphens/>
              <w:snapToGrid w:val="0"/>
              <w:spacing w:before="60" w:after="60" w:line="240" w:lineRule="auto"/>
              <w:jc w:val="center"/>
              <w:rPr>
                <w:b/>
                <w:color w:val="auto"/>
                <w:sz w:val="24"/>
                <w:szCs w:val="24"/>
                <w:lang w:eastAsia="ar-SA"/>
              </w:rPr>
            </w:pPr>
            <w:r>
              <w:rPr>
                <w:b/>
                <w:color w:val="auto"/>
                <w:sz w:val="24"/>
                <w:szCs w:val="24"/>
                <w:lang w:eastAsia="ar-SA"/>
              </w:rPr>
              <w:t>Источники финансирования Программы</w:t>
            </w:r>
          </w:p>
        </w:tc>
        <w:tc>
          <w:tcPr>
            <w:tcW w:w="5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59E0" w:rsidRDefault="00EA59E0">
            <w:pPr>
              <w:suppressAutoHyphens/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Программы включают:</w:t>
            </w:r>
          </w:p>
          <w:p w:rsidR="00EA59E0" w:rsidRDefault="00EA59E0" w:rsidP="00032654">
            <w:pPr>
              <w:numPr>
                <w:ilvl w:val="1"/>
                <w:numId w:val="2"/>
              </w:numPr>
              <w:tabs>
                <w:tab w:val="num" w:pos="102"/>
              </w:tabs>
              <w:suppressAutoHyphens/>
              <w:spacing w:before="60" w:after="60" w:line="240" w:lineRule="auto"/>
              <w:ind w:left="10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муниципального бюджета.</w:t>
            </w:r>
          </w:p>
          <w:p w:rsidR="00EA59E0" w:rsidRDefault="00EA59E0" w:rsidP="00032654">
            <w:pPr>
              <w:numPr>
                <w:ilvl w:val="1"/>
                <w:numId w:val="2"/>
              </w:numPr>
              <w:tabs>
                <w:tab w:val="num" w:pos="102"/>
              </w:tabs>
              <w:suppressAutoHyphens/>
              <w:spacing w:before="60" w:after="60" w:line="240" w:lineRule="auto"/>
              <w:ind w:left="10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  ГДД(Ю)Т.</w:t>
            </w:r>
          </w:p>
          <w:p w:rsidR="00EA59E0" w:rsidRDefault="00EA59E0" w:rsidP="00032654">
            <w:pPr>
              <w:numPr>
                <w:ilvl w:val="1"/>
                <w:numId w:val="2"/>
              </w:numPr>
              <w:tabs>
                <w:tab w:val="num" w:pos="102"/>
              </w:tabs>
              <w:suppressAutoHyphens/>
              <w:spacing w:before="60" w:after="60" w:line="240" w:lineRule="auto"/>
              <w:ind w:left="10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физических и юридических лиц.</w:t>
            </w:r>
          </w:p>
          <w:p w:rsidR="00EA59E0" w:rsidRDefault="00EA59E0">
            <w:pPr>
              <w:tabs>
                <w:tab w:val="left" w:pos="440"/>
                <w:tab w:val="left" w:pos="770"/>
              </w:tabs>
              <w:spacing w:before="60" w:after="60" w:line="240" w:lineRule="auto"/>
              <w:jc w:val="both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Объемы финансирования ежегодно уточняются Советом ГДД(ю)Т  при принятии плана работы и сметы расходов на соответствующий год.</w:t>
            </w:r>
          </w:p>
        </w:tc>
      </w:tr>
    </w:tbl>
    <w:p w:rsidR="00EA59E0" w:rsidRDefault="00EA59E0" w:rsidP="00EA59E0">
      <w:pPr>
        <w:suppressAutoHyphens/>
        <w:spacing w:before="60" w:after="60" w:line="240" w:lineRule="auto"/>
        <w:rPr>
          <w:color w:val="auto"/>
          <w:sz w:val="24"/>
          <w:szCs w:val="24"/>
          <w:lang w:eastAsia="ar-SA"/>
        </w:rPr>
      </w:pPr>
    </w:p>
    <w:p w:rsidR="00EA59E0" w:rsidRDefault="00EA59E0" w:rsidP="00EA59E0">
      <w:pPr>
        <w:suppressAutoHyphens/>
        <w:spacing w:before="60" w:after="60" w:line="240" w:lineRule="auto"/>
        <w:rPr>
          <w:color w:val="auto"/>
          <w:sz w:val="24"/>
          <w:szCs w:val="24"/>
          <w:lang w:eastAsia="ar-SA"/>
        </w:rPr>
      </w:pPr>
    </w:p>
    <w:p w:rsidR="00EA59E0" w:rsidRDefault="00EA59E0" w:rsidP="00EA59E0">
      <w:pPr>
        <w:suppressAutoHyphens/>
        <w:spacing w:before="60" w:after="60" w:line="240" w:lineRule="auto"/>
        <w:rPr>
          <w:color w:val="auto"/>
          <w:sz w:val="24"/>
          <w:szCs w:val="24"/>
          <w:lang w:eastAsia="ar-SA"/>
        </w:rPr>
      </w:pPr>
    </w:p>
    <w:p w:rsidR="00EA59E0" w:rsidRDefault="00EA59E0" w:rsidP="00EA59E0">
      <w:pPr>
        <w:suppressAutoHyphens/>
        <w:spacing w:before="60" w:after="60" w:line="240" w:lineRule="auto"/>
        <w:rPr>
          <w:color w:val="auto"/>
          <w:sz w:val="24"/>
          <w:szCs w:val="24"/>
          <w:lang w:eastAsia="ar-SA"/>
        </w:rPr>
      </w:pPr>
    </w:p>
    <w:p w:rsidR="00D84BCD" w:rsidRDefault="00D84BCD"/>
    <w:sectPr w:rsidR="00D84BCD" w:rsidSect="00D8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DD1"/>
    <w:multiLevelType w:val="multilevel"/>
    <w:tmpl w:val="0EC4E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4931C6D"/>
    <w:multiLevelType w:val="hybridMultilevel"/>
    <w:tmpl w:val="DAF21788"/>
    <w:lvl w:ilvl="0" w:tplc="8B746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59E0"/>
    <w:rsid w:val="00131B84"/>
    <w:rsid w:val="00293B65"/>
    <w:rsid w:val="00D84BCD"/>
    <w:rsid w:val="00EA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E0"/>
    <w:pPr>
      <w:spacing w:after="160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aliases w:val="Знак13"/>
    <w:basedOn w:val="a"/>
    <w:next w:val="a"/>
    <w:link w:val="10"/>
    <w:qFormat/>
    <w:rsid w:val="00EA59E0"/>
    <w:pPr>
      <w:spacing w:before="300" w:after="40" w:line="240" w:lineRule="auto"/>
      <w:outlineLvl w:val="0"/>
    </w:pPr>
    <w:rPr>
      <w:rFonts w:ascii="Arial" w:hAnsi="Arial"/>
      <w:color w:val="9D3511"/>
      <w:spacing w:val="20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3 Знак"/>
    <w:basedOn w:val="a0"/>
    <w:link w:val="1"/>
    <w:rsid w:val="00EA59E0"/>
    <w:rPr>
      <w:rFonts w:ascii="Arial" w:eastAsia="Times New Roman" w:hAnsi="Arial" w:cs="Times New Roman"/>
      <w:color w:val="9D3511"/>
      <w:spacing w:val="20"/>
      <w:sz w:val="28"/>
      <w:szCs w:val="28"/>
      <w:lang/>
    </w:rPr>
  </w:style>
  <w:style w:type="character" w:customStyle="1" w:styleId="a3">
    <w:name w:val="Название Знак"/>
    <w:aliases w:val="Знак8 Знак"/>
    <w:basedOn w:val="a0"/>
    <w:link w:val="a4"/>
    <w:locked/>
    <w:rsid w:val="00EA59E0"/>
    <w:rPr>
      <w:rFonts w:ascii="Arial" w:hAnsi="Arial" w:cs="Arial"/>
      <w:b/>
      <w:bCs/>
      <w:smallCaps/>
      <w:color w:val="D34817"/>
      <w:sz w:val="48"/>
      <w:szCs w:val="48"/>
      <w:lang/>
    </w:rPr>
  </w:style>
  <w:style w:type="paragraph" w:styleId="a4">
    <w:name w:val="Title"/>
    <w:aliases w:val="Знак8"/>
    <w:basedOn w:val="a"/>
    <w:link w:val="a3"/>
    <w:qFormat/>
    <w:rsid w:val="00EA59E0"/>
    <w:pPr>
      <w:pBdr>
        <w:bottom w:val="single" w:sz="8" w:space="4" w:color="D34817"/>
      </w:pBdr>
      <w:spacing w:line="240" w:lineRule="auto"/>
      <w:contextualSpacing/>
      <w:jc w:val="center"/>
    </w:pPr>
    <w:rPr>
      <w:rFonts w:ascii="Arial" w:eastAsiaTheme="minorHAnsi" w:hAnsi="Arial" w:cs="Arial"/>
      <w:b/>
      <w:bCs/>
      <w:smallCaps/>
      <w:color w:val="D34817"/>
      <w:sz w:val="48"/>
      <w:szCs w:val="48"/>
      <w:lang/>
    </w:rPr>
  </w:style>
  <w:style w:type="character" w:customStyle="1" w:styleId="11">
    <w:name w:val="Название Знак1"/>
    <w:basedOn w:val="a0"/>
    <w:link w:val="a4"/>
    <w:uiPriority w:val="10"/>
    <w:rsid w:val="00EA59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ighlight">
    <w:name w:val="highlight"/>
    <w:basedOn w:val="a0"/>
    <w:rsid w:val="00EA5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803</Words>
  <Characters>4582</Characters>
  <Application>Microsoft Office Word</Application>
  <DocSecurity>0</DocSecurity>
  <Lines>38</Lines>
  <Paragraphs>10</Paragraphs>
  <ScaleCrop>false</ScaleCrop>
  <Company>Microsoft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2014-11-19T04:31:00Z</dcterms:created>
  <dcterms:modified xsi:type="dcterms:W3CDTF">2014-11-19T04:31:00Z</dcterms:modified>
</cp:coreProperties>
</file>